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FF" w:rsidRDefault="000C53CD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429250" cy="1714500"/>
            <wp:effectExtent l="0" t="0" r="0" b="0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A873FF" w:rsidRDefault="000C53CD">
      <w:pPr>
        <w:spacing w:after="3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873FF" w:rsidRDefault="000C53CD">
      <w:pPr>
        <w:spacing w:after="276" w:line="265" w:lineRule="auto"/>
        <w:ind w:left="10" w:right="120" w:hanging="10"/>
        <w:jc w:val="center"/>
      </w:pPr>
      <w:r>
        <w:rPr>
          <w:b/>
        </w:rPr>
        <w:t xml:space="preserve">X Diálogos Consonantes  </w:t>
      </w:r>
    </w:p>
    <w:p w:rsidR="00A873FF" w:rsidRDefault="000C53CD">
      <w:pPr>
        <w:spacing w:after="569" w:line="265" w:lineRule="auto"/>
        <w:ind w:left="10" w:right="120" w:hanging="10"/>
        <w:jc w:val="center"/>
      </w:pPr>
      <w:r>
        <w:rPr>
          <w:b/>
        </w:rPr>
        <w:t xml:space="preserve">CONTANTES Y SONANTES  </w:t>
      </w:r>
    </w:p>
    <w:p w:rsidR="00A873FF" w:rsidRDefault="000C53CD">
      <w:pPr>
        <w:spacing w:after="245"/>
        <w:ind w:right="127"/>
      </w:pPr>
      <w:r>
        <w:t xml:space="preserve">A 30 años de la IV Conferencia sobre la Mujer, nos reunimos los días 27 y 28 de marzo en Montevideo, Uruguay, a celebrar los avances hacia el logro de la igualdad de género en democracia y con la </w:t>
      </w:r>
      <w:r>
        <w:t xml:space="preserve">perspectiva de una vida digna para todas las mujeres en su diversidad. </w:t>
      </w:r>
      <w:r>
        <w:rPr>
          <w:rFonts w:ascii="Calibri" w:eastAsia="Calibri" w:hAnsi="Calibri" w:cs="Calibri"/>
          <w:color w:val="444746"/>
        </w:rPr>
        <w:t>Los avances alcanzados gracias a la implementación de políticas públicas orientadas a corregir las desigualdades de género</w:t>
      </w:r>
      <w:r>
        <w:t xml:space="preserve">, han contribuido al cambio cultural en las sociedades y </w:t>
      </w:r>
      <w:r>
        <w:rPr>
          <w:rFonts w:ascii="Calibri" w:eastAsia="Calibri" w:hAnsi="Calibri" w:cs="Calibri"/>
          <w:color w:val="444746"/>
        </w:rPr>
        <w:t>son el</w:t>
      </w:r>
      <w:r>
        <w:rPr>
          <w:rFonts w:ascii="Calibri" w:eastAsia="Calibri" w:hAnsi="Calibri" w:cs="Calibri"/>
          <w:color w:val="444746"/>
        </w:rPr>
        <w:t xml:space="preserve"> resultado de los esfuerzos de las organizaciones de mujeres y feministas de la región, a pesar de los limitados recursos financieros con los que hemos contado.  </w:t>
      </w:r>
    </w:p>
    <w:p w:rsidR="00A873FF" w:rsidRDefault="000C53CD">
      <w:pPr>
        <w:ind w:right="127"/>
      </w:pPr>
      <w:r>
        <w:t>Celebramos que han surgido nuevas actoras en el escenario público político, movimientos femin</w:t>
      </w:r>
      <w:r>
        <w:t>istas diversos que han desplegado acciones articuladas para fortalecer el camino de la igualdad, pilar fundamental de la democracia y la paz. La confluencia de cuatro generaciones en el movimiento es un activo que nos da fuerza, muestra continuidad y cambi</w:t>
      </w:r>
      <w:r>
        <w:t xml:space="preserve">o, renovación y reconocimiento.  </w:t>
      </w:r>
    </w:p>
    <w:p w:rsidR="00A873FF" w:rsidRDefault="000C53CD">
      <w:pPr>
        <w:ind w:right="127"/>
      </w:pPr>
      <w:r>
        <w:t xml:space="preserve">Somos conscientes de que el contexto actual está caracterizado por, </w:t>
      </w:r>
      <w:r>
        <w:rPr>
          <w:color w:val="434343"/>
        </w:rPr>
        <w:t xml:space="preserve">la agudización de conflictos bélicos, </w:t>
      </w:r>
      <w:r>
        <w:t>la depredación del medio ambiente, la crisis climática, la criminalización de la protesta, la estigmatización y crim</w:t>
      </w:r>
      <w:r>
        <w:t xml:space="preserve">inalización de las diversidades sexo-genéricas y las violencias racistas y misóginas que deshumanizan a quienes cuestionan a los poderes.  </w:t>
      </w:r>
    </w:p>
    <w:p w:rsidR="00A873FF" w:rsidRDefault="000C53CD">
      <w:pPr>
        <w:spacing w:after="7" w:line="248" w:lineRule="auto"/>
        <w:ind w:left="0" w:right="110" w:firstLine="15"/>
      </w:pPr>
      <w:r>
        <w:t xml:space="preserve">El escenario global </w:t>
      </w:r>
      <w:r>
        <w:rPr>
          <w:color w:val="434343"/>
        </w:rPr>
        <w:t xml:space="preserve">está dominado por actores políticos ultra conservadores </w:t>
      </w:r>
      <w:proofErr w:type="gramStart"/>
      <w:r>
        <w:rPr>
          <w:color w:val="434343"/>
        </w:rPr>
        <w:t>que</w:t>
      </w:r>
      <w:proofErr w:type="gramEnd"/>
      <w:r>
        <w:rPr>
          <w:color w:val="434343"/>
        </w:rPr>
        <w:t xml:space="preserve"> para mantener sus privilegios, neces</w:t>
      </w:r>
      <w:r>
        <w:rPr>
          <w:color w:val="434343"/>
        </w:rPr>
        <w:t xml:space="preserve">itan destruir todo avance social y política pública que hagan posible la igualdad de género, </w:t>
      </w:r>
      <w:r>
        <w:t xml:space="preserve">la diversidad sexual, étnica, racial y contra la justicia socio-ambiental. Sus tácticas rompen toda ética y moral pública </w:t>
      </w:r>
      <w:r>
        <w:rPr>
          <w:color w:val="434343"/>
        </w:rPr>
        <w:t>y destruyen el tejido social</w:t>
      </w:r>
      <w:r>
        <w:t xml:space="preserve">.  </w:t>
      </w:r>
    </w:p>
    <w:p w:rsidR="00A873FF" w:rsidRDefault="000C53CD">
      <w:pPr>
        <w:spacing w:after="6"/>
        <w:ind w:right="127"/>
      </w:pPr>
      <w:r>
        <w:t>La difama</w:t>
      </w:r>
      <w:r>
        <w:t xml:space="preserve">ción, la estigmatización, el miedo, la manipulación, el chantaje, se han convertido en su principal argumento, se </w:t>
      </w:r>
      <w:r>
        <w:rPr>
          <w:color w:val="434343"/>
        </w:rPr>
        <w:t xml:space="preserve">agudizan conflictos armados, y legitiman genocidios que </w:t>
      </w:r>
      <w:r>
        <w:t xml:space="preserve">atentan contra el marco de los derechos humanos, el multilateralismo, la democracia y </w:t>
      </w:r>
      <w:r>
        <w:t xml:space="preserve">la paz mundial. </w:t>
      </w:r>
    </w:p>
    <w:p w:rsidR="00A873FF" w:rsidRDefault="000C53CD">
      <w:pPr>
        <w:spacing w:after="0" w:line="259" w:lineRule="auto"/>
        <w:ind w:left="30" w:right="0" w:firstLine="0"/>
        <w:jc w:val="left"/>
      </w:pPr>
      <w:r>
        <w:t xml:space="preserve"> </w:t>
      </w:r>
    </w:p>
    <w:p w:rsidR="00A873FF" w:rsidRDefault="000C53CD">
      <w:pPr>
        <w:spacing w:after="283" w:line="259" w:lineRule="auto"/>
        <w:ind w:left="30" w:right="0" w:firstLine="0"/>
        <w:jc w:val="left"/>
      </w:pPr>
      <w:r>
        <w:rPr>
          <w:b/>
        </w:rPr>
        <w:t xml:space="preserve">Las redes regionales y organizaciones feministas, manifestamos:  </w:t>
      </w:r>
    </w:p>
    <w:p w:rsidR="00A873FF" w:rsidRDefault="000C53CD">
      <w:pPr>
        <w:ind w:right="127"/>
      </w:pPr>
      <w:r>
        <w:lastRenderedPageBreak/>
        <w:t xml:space="preserve">La Cooperación Internacional para el Desarrollo parece, paulatinamente, dejar a los movimientos de mujeres indígenas, afrodescendientes y feministas fuera de sus </w:t>
      </w:r>
      <w:r>
        <w:t>esfuerzos, estrategias y apoyos, aun cuando estos movimientos trabajamos por el reconocimiento, ejercicio y defensa de derechos laborales, ambientales, económicos, sociales; aun cuando la justicia, la igualdad, la democracia, los derechos sexuales y reprod</w:t>
      </w:r>
      <w:r>
        <w:t xml:space="preserve">uctivos y una vida sin violencias son el centro de nuestra agenda.  </w:t>
      </w:r>
    </w:p>
    <w:p w:rsidR="00A873FF" w:rsidRDefault="000C53CD">
      <w:pPr>
        <w:ind w:right="127"/>
      </w:pPr>
      <w:r>
        <w:t>Nosotras, desde esa agenda común, nos mantenemos firmes para fortalecer los lazos con aquella cooperación que haga resistencia y esté dispuesta a avanzar frente a la oleada de ataques con</w:t>
      </w:r>
      <w:r>
        <w:t xml:space="preserve">servadores que pretenden retroceder la historia.  </w:t>
      </w:r>
    </w:p>
    <w:p w:rsidR="00A873FF" w:rsidRDefault="000C53CD">
      <w:pPr>
        <w:ind w:right="127"/>
      </w:pPr>
      <w:r>
        <w:t>Las feministas de América Latina y Caribe nos sentimos orgullosas del camino recorrido que hoy permite la legitimidad y amplitud de nuestros movimientos. Nos hemos mantenido en un paciente y sostenido trab</w:t>
      </w:r>
      <w:r>
        <w:t xml:space="preserve">ajo de incidencia en los espacios nacionales, regionales y globales de toma de decisiones, que posibiliten transitar hacia la sociedad de los cuidados. Somos conscientes de que necesitamos proteger </w:t>
      </w:r>
      <w:r>
        <w:rPr>
          <w:color w:val="434343"/>
        </w:rPr>
        <w:t xml:space="preserve">de la violencia y la represión </w:t>
      </w:r>
      <w:r>
        <w:t>a todas las personas, los c</w:t>
      </w:r>
      <w:r>
        <w:t xml:space="preserve">olectivos, las organizaciones, las redes afectivas, sociales y políticas </w:t>
      </w:r>
      <w:r>
        <w:rPr>
          <w:color w:val="434343"/>
        </w:rPr>
        <w:t xml:space="preserve">que defienden los derechos humanos. </w:t>
      </w:r>
      <w:r>
        <w:t>Son ellas las que desde diversos territorios promueven la solidaridad cotidiana, responden a las emergencias para sustentar la vida social, económi</w:t>
      </w:r>
      <w:r>
        <w:t xml:space="preserve">ca, cultural y comunitaria.  </w:t>
      </w:r>
    </w:p>
    <w:p w:rsidR="00A873FF" w:rsidRDefault="000C53CD">
      <w:pPr>
        <w:ind w:right="127"/>
      </w:pPr>
      <w:r>
        <w:rPr>
          <w:b/>
        </w:rPr>
        <w:t xml:space="preserve">Es claro que las calles y los territorios son nuestros. </w:t>
      </w:r>
      <w:r>
        <w:t>Lo hemos demostrado y mantenido, en contextos de guerra, militarización, crisis humanitaria, de transición demográfica sin protección social ni acceso a derechos, a pesar</w:t>
      </w:r>
      <w:r>
        <w:t xml:space="preserve"> de la persistente división sexual y racial del trabajo, del monopolio y presión de las grandes corporaciones, especialmente las tecnológicas de la comunicación.  </w:t>
      </w:r>
    </w:p>
    <w:p w:rsidR="00A873FF" w:rsidRDefault="000C53CD">
      <w:pPr>
        <w:pStyle w:val="Ttulo1"/>
      </w:pPr>
      <w:r>
        <w:t>Compromisos</w:t>
      </w:r>
      <w:r>
        <w:rPr>
          <w:u w:val="none"/>
        </w:rPr>
        <w:t xml:space="preserve">  </w:t>
      </w:r>
    </w:p>
    <w:p w:rsidR="00A873FF" w:rsidRDefault="000C53CD">
      <w:pPr>
        <w:ind w:right="127"/>
      </w:pPr>
      <w:r>
        <w:t xml:space="preserve">Constatando que la acción de los movimientos feministas organizados </w:t>
      </w:r>
      <w:r>
        <w:rPr>
          <w:color w:val="434343"/>
        </w:rPr>
        <w:t>es impresc</w:t>
      </w:r>
      <w:r>
        <w:rPr>
          <w:color w:val="434343"/>
        </w:rPr>
        <w:t xml:space="preserve">indible para lograr una sociedad justa y </w:t>
      </w:r>
      <w:r>
        <w:t xml:space="preserve">ha tenido como resultado cambios relevantes en el imaginario colectivo, en el sentido común de la ciudadanía y en la ampliación de la democracia, nos comprometemos a:  </w:t>
      </w:r>
    </w:p>
    <w:p w:rsidR="00A873FF" w:rsidRDefault="000C53CD">
      <w:pPr>
        <w:numPr>
          <w:ilvl w:val="0"/>
          <w:numId w:val="1"/>
        </w:numPr>
        <w:spacing w:after="2"/>
        <w:ind w:right="119" w:hanging="360"/>
      </w:pPr>
      <w:r>
        <w:t>Fortalecer la articulación entre la diversidad</w:t>
      </w:r>
      <w:r>
        <w:t xml:space="preserve"> de expresiones de las redes y organizaciones feministas y de mujeres.  </w:t>
      </w:r>
    </w:p>
    <w:p w:rsidR="00A873FF" w:rsidRDefault="000C53C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A873FF" w:rsidRDefault="000C53CD">
      <w:pPr>
        <w:numPr>
          <w:ilvl w:val="0"/>
          <w:numId w:val="1"/>
        </w:numPr>
        <w:spacing w:after="0" w:line="248" w:lineRule="auto"/>
        <w:ind w:right="119" w:hanging="360"/>
      </w:pPr>
      <w:r>
        <w:t>Mantener y fortalecer la coordinación política entre los diferentes actores de la cooperación al desarrollo, a fin de garantizar que los nuevos términos de esta incluyan el financia</w:t>
      </w:r>
      <w:r>
        <w:t xml:space="preserve">miento a los movimientos feministas y de mujeres en su diversidad, sentadas como aliadas en la misma mesa y a la misma altura.  </w:t>
      </w:r>
    </w:p>
    <w:p w:rsidR="00A873FF" w:rsidRDefault="000C53C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A873FF" w:rsidRDefault="000C53CD">
      <w:pPr>
        <w:numPr>
          <w:ilvl w:val="0"/>
          <w:numId w:val="1"/>
        </w:numPr>
        <w:spacing w:after="0"/>
        <w:ind w:right="119" w:hanging="360"/>
      </w:pPr>
      <w:r>
        <w:t>Promover que los gobiernos y el sistema de cooperación en su conjunto, realice aportaciones contundentes y sostenidas al Fond</w:t>
      </w:r>
      <w:r>
        <w:t xml:space="preserve">o Regional de Apoyo a las Organizaciones y Movimientos de Mujeres y Feministas.  </w:t>
      </w:r>
    </w:p>
    <w:p w:rsidR="00A873FF" w:rsidRDefault="000C53CD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A873FF" w:rsidRDefault="000C53CD">
      <w:pPr>
        <w:numPr>
          <w:ilvl w:val="0"/>
          <w:numId w:val="1"/>
        </w:numPr>
        <w:spacing w:after="536" w:line="248" w:lineRule="auto"/>
        <w:ind w:right="119" w:hanging="360"/>
      </w:pPr>
      <w:r>
        <w:rPr>
          <w:color w:val="434343"/>
        </w:rPr>
        <w:t xml:space="preserve">Fortalecer la protección de nuestros movimientos e implementar estrategias de seguridad y cuidado para las defensoras de derechos humanos en su diversidad.  </w:t>
      </w:r>
    </w:p>
    <w:p w:rsidR="00A873FF" w:rsidRDefault="000C53CD">
      <w:pPr>
        <w:ind w:right="127"/>
      </w:pPr>
      <w:r>
        <w:t>Llamamos a tod</w:t>
      </w:r>
      <w:r>
        <w:t>as las instituciones internacionales, nacionales, bilaterales y regionales, a fortalecer las políticas de financiamiento con enfoque de género que hagan sostenible el trabajo que realizan las diversas expresiones de los movimientos feministas, de mujeres y</w:t>
      </w:r>
      <w:r>
        <w:t xml:space="preserve"> de diversidad sexo genérica y étnico racial, en el marco de la defensa de la democracia y sus principios: la libertad, la dignidad humana, la igualdad y el Estado de derecho.  </w:t>
      </w:r>
    </w:p>
    <w:p w:rsidR="00A873FF" w:rsidRDefault="000C53CD">
      <w:pPr>
        <w:ind w:right="127"/>
      </w:pPr>
      <w:r>
        <w:t>Demandamos a los gobiernos un compromiso real y efectivo con la Declaración de</w:t>
      </w:r>
      <w:r>
        <w:t xml:space="preserve"> los Defensores de Derechos Humanos de 1998 y la Agenda de mujer, paz y seguridad.  </w:t>
      </w:r>
    </w:p>
    <w:p w:rsidR="00A873FF" w:rsidRDefault="000C53CD">
      <w:pPr>
        <w:spacing w:after="870"/>
        <w:ind w:right="127"/>
      </w:pPr>
      <w:r>
        <w:t xml:space="preserve">Es imprescindible reforzar el paradigma del cuidado como un camino de paz, enfrentando la lógica armamentista y de guerra y fortaleciendo los entramados comunitarios  </w:t>
      </w:r>
    </w:p>
    <w:p w:rsidR="00A873FF" w:rsidRDefault="000C53CD">
      <w:pPr>
        <w:ind w:right="127"/>
      </w:pPr>
      <w:r>
        <w:t>Art</w:t>
      </w:r>
      <w:r>
        <w:t xml:space="preserve">iculación Feminista </w:t>
      </w:r>
      <w:proofErr w:type="spellStart"/>
      <w:r>
        <w:t>Marcosur</w:t>
      </w:r>
      <w:proofErr w:type="spellEnd"/>
      <w:r>
        <w:t xml:space="preserve"> AFM  </w:t>
      </w:r>
    </w:p>
    <w:p w:rsidR="00A873FF" w:rsidRDefault="000C53CD">
      <w:pPr>
        <w:ind w:right="127"/>
      </w:pPr>
      <w:r>
        <w:t xml:space="preserve">Asociación civil Acción. Reflexión lésbica feminista. Las </w:t>
      </w:r>
      <w:proofErr w:type="spellStart"/>
      <w:r>
        <w:t>Safinas</w:t>
      </w:r>
      <w:proofErr w:type="spellEnd"/>
      <w:r>
        <w:t xml:space="preserve"> (Argentina) </w:t>
      </w:r>
    </w:p>
    <w:p w:rsidR="00A873FF" w:rsidRDefault="000C53CD">
      <w:pPr>
        <w:ind w:right="127"/>
      </w:pPr>
      <w:r>
        <w:t xml:space="preserve">Coordinadora de Organizaciones para el Desarrollo del Estado español </w:t>
      </w:r>
    </w:p>
    <w:p w:rsidR="00A873FF" w:rsidRDefault="000C53CD">
      <w:pPr>
        <w:ind w:right="127"/>
      </w:pPr>
      <w:r>
        <w:t xml:space="preserve">Centro de Documentación y Estudios, CDE (Paraguay)  </w:t>
      </w:r>
    </w:p>
    <w:p w:rsidR="00A873FF" w:rsidRDefault="000C53CD">
      <w:pPr>
        <w:spacing w:after="338"/>
        <w:ind w:right="127"/>
      </w:pPr>
      <w:r>
        <w:t>Centro Feminista de</w:t>
      </w:r>
      <w:r>
        <w:t xml:space="preserve"> </w:t>
      </w:r>
      <w:proofErr w:type="spellStart"/>
      <w:r>
        <w:t>Estudos</w:t>
      </w:r>
      <w:proofErr w:type="spellEnd"/>
      <w:r>
        <w:t xml:space="preserve"> e </w:t>
      </w:r>
      <w:proofErr w:type="spellStart"/>
      <w:r>
        <w:t>Assessoria</w:t>
      </w:r>
      <w:proofErr w:type="spellEnd"/>
      <w:r>
        <w:t xml:space="preserve"> - CFMEA (Brasil) </w:t>
      </w:r>
    </w:p>
    <w:p w:rsidR="000C53CD" w:rsidRDefault="000C53CD" w:rsidP="000C53CD">
      <w:pPr>
        <w:spacing w:after="342"/>
        <w:ind w:right="127"/>
      </w:pPr>
      <w:r>
        <w:t>Centro</w:t>
      </w:r>
      <w:r w:rsidRPr="000C53CD">
        <w:t xml:space="preserve"> </w:t>
      </w:r>
      <w:r>
        <w:t xml:space="preserve">de la mujer peruana Flora </w:t>
      </w:r>
      <w:proofErr w:type="spellStart"/>
      <w:r>
        <w:t>Tristan</w:t>
      </w:r>
      <w:proofErr w:type="spellEnd"/>
    </w:p>
    <w:p w:rsidR="00A873FF" w:rsidRDefault="000C53CD" w:rsidP="000C53CD">
      <w:pPr>
        <w:spacing w:after="342"/>
        <w:ind w:right="127"/>
      </w:pPr>
      <w:r>
        <w:t xml:space="preserve">CISCSA - Ciudades Feministas </w:t>
      </w:r>
      <w:bookmarkStart w:id="0" w:name="_GoBack"/>
      <w:bookmarkEnd w:id="0"/>
      <w:r>
        <w:t xml:space="preserve">(Argentina) </w:t>
      </w:r>
      <w:r>
        <w:t xml:space="preserve">  </w:t>
      </w:r>
    </w:p>
    <w:p w:rsidR="00A873FF" w:rsidRDefault="000C53CD">
      <w:pPr>
        <w:ind w:right="127"/>
      </w:pPr>
      <w:r>
        <w:t xml:space="preserve">Coordinadora de la Mujer (Bolivia)  </w:t>
      </w:r>
    </w:p>
    <w:p w:rsidR="00A873FF" w:rsidRDefault="000C53CD">
      <w:pPr>
        <w:spacing w:after="10"/>
        <w:ind w:right="127"/>
      </w:pPr>
      <w:r>
        <w:t xml:space="preserve">Comité de América Latina y el Caribe para la Defensa de los Derechos de las </w:t>
      </w:r>
    </w:p>
    <w:p w:rsidR="00A873FF" w:rsidRDefault="000C53CD">
      <w:pPr>
        <w:spacing w:after="10"/>
        <w:ind w:right="127"/>
      </w:pPr>
      <w:r>
        <w:t xml:space="preserve">Mujeres CLADEM </w:t>
      </w:r>
    </w:p>
    <w:p w:rsidR="00A873FF" w:rsidRDefault="000C53CD">
      <w:pPr>
        <w:spacing w:after="0" w:line="259" w:lineRule="auto"/>
        <w:ind w:left="30" w:right="0" w:firstLine="0"/>
        <w:jc w:val="left"/>
      </w:pPr>
      <w:r>
        <w:t xml:space="preserve"> </w:t>
      </w:r>
    </w:p>
    <w:p w:rsidR="00A873FF" w:rsidRDefault="000C53CD">
      <w:pPr>
        <w:ind w:right="127"/>
      </w:pPr>
      <w:r>
        <w:t>Corporación La Morada (</w:t>
      </w:r>
      <w:r>
        <w:t xml:space="preserve">Chile)  </w:t>
      </w:r>
    </w:p>
    <w:p w:rsidR="00A873FF" w:rsidRDefault="000C53CD">
      <w:pPr>
        <w:ind w:right="127"/>
      </w:pPr>
      <w:r>
        <w:t xml:space="preserve">Cotidiano Mujer (Uruguay)  </w:t>
      </w:r>
    </w:p>
    <w:p w:rsidR="00A873FF" w:rsidRDefault="000C53CD">
      <w:pPr>
        <w:ind w:right="127"/>
      </w:pPr>
      <w:r>
        <w:t xml:space="preserve">Ellas </w:t>
      </w:r>
      <w:proofErr w:type="spellStart"/>
      <w:r>
        <w:t>Filantropia</w:t>
      </w:r>
      <w:proofErr w:type="spellEnd"/>
      <w:r>
        <w:t xml:space="preserve"> Feminista  </w:t>
      </w:r>
    </w:p>
    <w:p w:rsidR="00A873FF" w:rsidRDefault="000C53CD">
      <w:pPr>
        <w:ind w:right="127"/>
      </w:pPr>
      <w:r>
        <w:lastRenderedPageBreak/>
        <w:t xml:space="preserve">Enlace Continental de Mujeres Indígenas de las Américas - ECMIA </w:t>
      </w:r>
    </w:p>
    <w:p w:rsidR="00A873FF" w:rsidRDefault="000C53CD">
      <w:pPr>
        <w:ind w:right="127"/>
      </w:pPr>
      <w:proofErr w:type="spellStart"/>
      <w:r>
        <w:t>Equality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LAC </w:t>
      </w:r>
    </w:p>
    <w:p w:rsidR="00A873FF" w:rsidRDefault="000C53CD">
      <w:pPr>
        <w:ind w:right="127"/>
      </w:pPr>
      <w:r>
        <w:t xml:space="preserve">Equidad de Género (México)  </w:t>
      </w:r>
    </w:p>
    <w:p w:rsidR="00A873FF" w:rsidRDefault="000C53CD">
      <w:pPr>
        <w:spacing w:after="338"/>
        <w:ind w:right="127"/>
      </w:pPr>
      <w:proofErr w:type="spellStart"/>
      <w:r>
        <w:t>Fòs</w:t>
      </w:r>
      <w:proofErr w:type="spellEnd"/>
      <w:r>
        <w:t xml:space="preserve"> Feminista </w:t>
      </w:r>
    </w:p>
    <w:p w:rsidR="00A873FF" w:rsidRDefault="000C53CD">
      <w:pPr>
        <w:ind w:right="127"/>
      </w:pPr>
      <w:r>
        <w:t xml:space="preserve">Incide Joven (Guatemala)  </w:t>
      </w:r>
    </w:p>
    <w:p w:rsidR="00A873FF" w:rsidRDefault="000C53CD">
      <w:pPr>
        <w:ind w:right="127"/>
      </w:pPr>
      <w:r>
        <w:t>Iniciativa Mesoamericana de Mujeres</w:t>
      </w:r>
      <w:r>
        <w:t xml:space="preserve"> Defensoras de Derechos Humanos </w:t>
      </w:r>
    </w:p>
    <w:p w:rsidR="00A873FF" w:rsidRDefault="000C53CD">
      <w:pPr>
        <w:ind w:right="742"/>
      </w:pPr>
      <w:r>
        <w:t xml:space="preserve">Instituto Afrodescendiente para el Estudio, la Investigación y el Desarrollo. IAEID LAC  </w:t>
      </w:r>
    </w:p>
    <w:p w:rsidR="00A873FF" w:rsidRDefault="000C53CD">
      <w:pPr>
        <w:ind w:right="127"/>
      </w:pPr>
      <w:r>
        <w:t xml:space="preserve">Mesa por la vida y la Salud de las Mujeres (Colombia)  </w:t>
      </w:r>
    </w:p>
    <w:p w:rsidR="00A873FF" w:rsidRDefault="000C53CD">
      <w:pPr>
        <w:ind w:right="127"/>
      </w:pPr>
      <w:r>
        <w:t xml:space="preserve">Movimiento de Mujeres Luna Creciente (Ecuador)  </w:t>
      </w:r>
    </w:p>
    <w:p w:rsidR="00A873FF" w:rsidRDefault="000C53CD">
      <w:pPr>
        <w:ind w:right="127"/>
      </w:pPr>
      <w:r>
        <w:t xml:space="preserve">Red de Mujeres Amazónicas </w:t>
      </w:r>
      <w:r>
        <w:t xml:space="preserve">(Ecuador)  </w:t>
      </w:r>
    </w:p>
    <w:p w:rsidR="00A873FF" w:rsidRDefault="000C53CD">
      <w:pPr>
        <w:ind w:right="127"/>
      </w:pPr>
      <w:r>
        <w:t xml:space="preserve">Red Mujer y Hábitat - LAC  </w:t>
      </w:r>
    </w:p>
    <w:p w:rsidR="00A873FF" w:rsidRDefault="000C53CD">
      <w:pPr>
        <w:spacing w:after="10"/>
        <w:ind w:right="127"/>
      </w:pPr>
      <w:r>
        <w:t xml:space="preserve">Red Nacional de Mujeres de (Colombia)  </w:t>
      </w:r>
    </w:p>
    <w:p w:rsidR="00A873FF" w:rsidRDefault="000C53CD">
      <w:pPr>
        <w:spacing w:after="0" w:line="259" w:lineRule="auto"/>
        <w:ind w:left="30" w:right="0" w:firstLine="0"/>
        <w:jc w:val="left"/>
      </w:pPr>
      <w:r>
        <w:t xml:space="preserve"> </w:t>
      </w:r>
    </w:p>
    <w:p w:rsidR="00A873FF" w:rsidRDefault="000C53CD">
      <w:pPr>
        <w:spacing w:after="10"/>
        <w:ind w:right="127"/>
      </w:pPr>
      <w:r>
        <w:t xml:space="preserve">Red de Mujeres viviendo con VIH ICW Latina  </w:t>
      </w:r>
    </w:p>
    <w:p w:rsidR="00A873FF" w:rsidRDefault="000C53CD">
      <w:pPr>
        <w:spacing w:after="0" w:line="259" w:lineRule="auto"/>
        <w:ind w:left="30" w:right="0" w:firstLine="0"/>
        <w:jc w:val="left"/>
      </w:pPr>
      <w:r>
        <w:t xml:space="preserve"> </w:t>
      </w:r>
    </w:p>
    <w:p w:rsidR="00A873FF" w:rsidRDefault="000C53CD">
      <w:pPr>
        <w:spacing w:after="10"/>
        <w:ind w:right="127"/>
      </w:pPr>
      <w:r>
        <w:t>Red de Trabajadoras Sexuales de Latinoamérica y el Caribe (</w:t>
      </w:r>
      <w:proofErr w:type="spellStart"/>
      <w:r>
        <w:t>RedTraSex</w:t>
      </w:r>
      <w:proofErr w:type="spellEnd"/>
      <w:r>
        <w:t xml:space="preserve">)  </w:t>
      </w:r>
    </w:p>
    <w:p w:rsidR="00A873FF" w:rsidRDefault="000C53CD">
      <w:pPr>
        <w:spacing w:after="0" w:line="259" w:lineRule="auto"/>
        <w:ind w:left="30" w:right="0" w:firstLine="0"/>
        <w:jc w:val="left"/>
      </w:pPr>
      <w:r>
        <w:t xml:space="preserve"> </w:t>
      </w:r>
    </w:p>
    <w:p w:rsidR="00A873FF" w:rsidRDefault="000C53CD">
      <w:pPr>
        <w:ind w:right="127"/>
      </w:pPr>
      <w:r>
        <w:t xml:space="preserve">REDHE - Rede de </w:t>
      </w:r>
      <w:proofErr w:type="spellStart"/>
      <w:r>
        <w:t>Desenvolvimento</w:t>
      </w:r>
      <w:proofErr w:type="spellEnd"/>
      <w:r>
        <w:t xml:space="preserve"> Humano  </w:t>
      </w:r>
    </w:p>
    <w:p w:rsidR="00A873FF" w:rsidRDefault="000C53CD">
      <w:pPr>
        <w:ind w:right="127"/>
      </w:pPr>
      <w:r>
        <w:t xml:space="preserve">RMAAD - Red </w:t>
      </w:r>
      <w:r>
        <w:t xml:space="preserve">de Mujeres Afrolatinas Afrocaribeñas y de la Diáspora </w:t>
      </w:r>
    </w:p>
    <w:p w:rsidR="00A873FF" w:rsidRDefault="000C53CD">
      <w:pPr>
        <w:ind w:right="127"/>
      </w:pPr>
      <w:r>
        <w:t xml:space="preserve">RMSLAC - Red de Salud de las Mujeres latinoamericanas y del Caribe </w:t>
      </w:r>
    </w:p>
    <w:p w:rsidR="00A873FF" w:rsidRDefault="000C53CD">
      <w:pPr>
        <w:spacing w:after="338"/>
        <w:ind w:right="127"/>
      </w:pPr>
      <w:r>
        <w:t xml:space="preserve">Sombrilla Centroamericana  </w:t>
      </w:r>
    </w:p>
    <w:p w:rsidR="00A873FF" w:rsidRDefault="000C53CD">
      <w:pPr>
        <w:ind w:right="127"/>
      </w:pPr>
      <w:r>
        <w:t xml:space="preserve">SOS </w:t>
      </w:r>
      <w:proofErr w:type="spellStart"/>
      <w:r>
        <w:t>Corpo</w:t>
      </w:r>
      <w:proofErr w:type="spellEnd"/>
      <w:r>
        <w:t xml:space="preserve"> Instituto Feminista para a Democracia  </w:t>
      </w:r>
    </w:p>
    <w:p w:rsidR="00A873FF" w:rsidRDefault="000C53CD">
      <w:pPr>
        <w:ind w:right="127"/>
      </w:pPr>
      <w:r>
        <w:t xml:space="preserve">Vecinas Feministas (México) </w:t>
      </w:r>
    </w:p>
    <w:sectPr w:rsidR="00A873FF">
      <w:pgSz w:w="11920" w:h="16840"/>
      <w:pgMar w:top="1437" w:right="1565" w:bottom="158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EFD"/>
    <w:multiLevelType w:val="hybridMultilevel"/>
    <w:tmpl w:val="2C1CB81C"/>
    <w:lvl w:ilvl="0" w:tplc="9FC2700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E307A">
      <w:start w:val="1"/>
      <w:numFmt w:val="bullet"/>
      <w:lvlText w:val="o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0CDDE">
      <w:start w:val="1"/>
      <w:numFmt w:val="bullet"/>
      <w:lvlText w:val="▪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8FC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C36D8">
      <w:start w:val="1"/>
      <w:numFmt w:val="bullet"/>
      <w:lvlText w:val="o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220FC">
      <w:start w:val="1"/>
      <w:numFmt w:val="bullet"/>
      <w:lvlText w:val="▪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F07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C82A0">
      <w:start w:val="1"/>
      <w:numFmt w:val="bullet"/>
      <w:lvlText w:val="o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C6C2">
      <w:start w:val="1"/>
      <w:numFmt w:val="bullet"/>
      <w:lvlText w:val="▪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FF"/>
    <w:rsid w:val="000C53CD"/>
    <w:rsid w:val="00A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2310"/>
  <w15:docId w15:val="{068767F9-17EF-4073-970A-7876E39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95" w:line="249" w:lineRule="auto"/>
      <w:ind w:left="15" w:right="122" w:firstLine="5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87"/>
      <w:ind w:left="3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X Diálogos Consonantes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X Diálogos Consonantes</dc:title>
  <dc:subject/>
  <dc:creator> </dc:creator>
  <cp:keywords/>
  <cp:lastModifiedBy> </cp:lastModifiedBy>
  <cp:revision>2</cp:revision>
  <dcterms:created xsi:type="dcterms:W3CDTF">2025-04-24T18:24:00Z</dcterms:created>
  <dcterms:modified xsi:type="dcterms:W3CDTF">2025-04-24T18:24:00Z</dcterms:modified>
</cp:coreProperties>
</file>